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23" w:lineRule="auto"/>
        <w:rPr>
          <w:rFonts w:ascii="Arial"/>
          <w:sz w:val="21"/>
        </w:rPr>
      </w:pPr>
      <w:r/>
    </w:p>
    <w:p>
      <w:pPr>
        <w:pStyle w:val="BodyText"/>
        <w:ind w:left="1868"/>
        <w:spacing w:before="91" w:line="219" w:lineRule="auto"/>
        <w:outlineLvl w:val="0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应城市人民医院射频理疗仪医疗设备采购需求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136"/>
        <w:spacing w:before="68" w:line="221" w:lineRule="auto"/>
        <w:outlineLvl w:val="1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4"/>
        </w:rPr>
        <w:t>一、技术参数要求</w:t>
      </w:r>
    </w:p>
    <w:p>
      <w:pPr>
        <w:spacing w:line="426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69" w:line="220" w:lineRule="auto"/>
        <w:rPr/>
      </w:pPr>
      <w:r>
        <w:rPr>
          <w:spacing w:val="-2"/>
        </w:rPr>
        <w:t>1.配置清单：主机一台、治疗手柄四套、仪器车一台。</w:t>
      </w:r>
    </w:p>
    <w:p>
      <w:pPr>
        <w:pStyle w:val="BodyText"/>
        <w:ind w:left="3"/>
        <w:spacing w:before="217" w:line="220" w:lineRule="auto"/>
        <w:rPr/>
      </w:pPr>
      <w:r>
        <w:rPr>
          <w:spacing w:val="-1"/>
        </w:rPr>
        <w:t>2.主机额定功率：≤300VA。</w:t>
      </w:r>
    </w:p>
    <w:p>
      <w:pPr>
        <w:pStyle w:val="BodyText"/>
        <w:ind w:left="5"/>
        <w:spacing w:before="217" w:line="220" w:lineRule="auto"/>
        <w:rPr/>
      </w:pPr>
      <w:r>
        <w:rPr>
          <w:spacing w:val="-2"/>
        </w:rPr>
        <w:t>3.主机控制屏：彩色液晶触摸屏，易于操作。</w:t>
      </w:r>
    </w:p>
    <w:p>
      <w:pPr>
        <w:pStyle w:val="BodyText"/>
        <w:spacing w:before="220" w:line="221" w:lineRule="auto"/>
        <w:rPr/>
      </w:pPr>
      <w:r>
        <w:rPr>
          <w:spacing w:val="-1"/>
        </w:rPr>
        <w:t>4.时间显示：0-60 分钟可调，步进 1 分钟，可显示剩余治疗时间。</w:t>
      </w:r>
    </w:p>
    <w:p>
      <w:pPr>
        <w:pStyle w:val="BodyText"/>
        <w:ind w:left="5"/>
        <w:spacing w:before="217" w:line="221" w:lineRule="auto"/>
        <w:rPr/>
      </w:pPr>
      <w:r>
        <w:rPr>
          <w:spacing w:val="-1"/>
        </w:rPr>
        <w:t>5.治疗提示音：治疗开始和治疗结束有提示音，音量大小可调节。</w:t>
      </w:r>
    </w:p>
    <w:p>
      <w:pPr>
        <w:pStyle w:val="BodyText"/>
        <w:ind w:left="2"/>
        <w:spacing w:before="219" w:line="221" w:lineRule="auto"/>
        <w:rPr/>
      </w:pPr>
      <w:r>
        <w:rPr>
          <w:spacing w:val="-2"/>
        </w:rPr>
        <w:t>6.▲输出能量：1-9 级可调。</w:t>
      </w:r>
    </w:p>
    <w:p>
      <w:pPr>
        <w:pStyle w:val="BodyText"/>
        <w:ind w:left="5"/>
        <w:spacing w:before="218" w:line="221" w:lineRule="auto"/>
        <w:rPr/>
      </w:pPr>
      <w:r>
        <w:rPr>
          <w:spacing w:val="4"/>
        </w:rPr>
        <w:t>7.运行环境温度范围：10℃~40℃。</w:t>
      </w:r>
    </w:p>
    <w:p>
      <w:pPr>
        <w:pStyle w:val="BodyText"/>
        <w:ind w:left="1"/>
        <w:spacing w:before="215" w:line="221" w:lineRule="auto"/>
        <w:rPr/>
      </w:pPr>
      <w:r>
        <w:rPr/>
        <w:t>8.▲工作频率：频率范围在 2500Hz～1MHz，不少于两种不同的</w:t>
      </w:r>
      <w:r>
        <w:rPr>
          <w:spacing w:val="-1"/>
        </w:rPr>
        <w:t>治疗频率。</w:t>
      </w:r>
    </w:p>
    <w:p>
      <w:pPr>
        <w:pStyle w:val="BodyText"/>
        <w:ind w:left="1"/>
        <w:spacing w:before="219" w:line="221" w:lineRule="auto"/>
        <w:rPr/>
      </w:pPr>
      <w:r>
        <w:rPr>
          <w:spacing w:val="-1"/>
        </w:rPr>
        <w:t>9.输出形式：单级模式、双级或多级模式，不少于两种模式。</w:t>
      </w:r>
    </w:p>
    <w:p>
      <w:pPr>
        <w:pStyle w:val="BodyText"/>
        <w:ind w:left="16"/>
        <w:spacing w:before="217" w:line="220" w:lineRule="auto"/>
        <w:rPr/>
      </w:pPr>
      <w:r>
        <w:rPr>
          <w:spacing w:val="-1"/>
        </w:rPr>
        <w:t>10.主机噪音：产品在工作状态下的噪音应不大于 70dB(A)。</w:t>
      </w:r>
    </w:p>
    <w:p>
      <w:pPr>
        <w:pStyle w:val="BodyText"/>
        <w:ind w:left="16"/>
        <w:spacing w:before="220" w:line="221" w:lineRule="auto"/>
        <w:rPr/>
      </w:pPr>
      <w:r>
        <w:rPr/>
        <w:t>11.输出通道：不少于 4 种输出通道接口，每一种通道工作</w:t>
      </w:r>
      <w:r>
        <w:rPr>
          <w:spacing w:val="-1"/>
        </w:rPr>
        <w:t>模式不同，包含有中性电极输出通道。</w:t>
      </w:r>
    </w:p>
    <w:p>
      <w:pPr>
        <w:pStyle w:val="BodyText"/>
        <w:ind w:left="16"/>
        <w:spacing w:before="217" w:line="221" w:lineRule="auto"/>
        <w:rPr/>
      </w:pPr>
      <w:r>
        <w:rPr>
          <w:spacing w:val="-1"/>
        </w:rPr>
        <w:t>12.治疗频率工作模式：单频率模式；多频率自动交替模式。</w:t>
      </w:r>
    </w:p>
    <w:p>
      <w:pPr>
        <w:pStyle w:val="BodyText"/>
        <w:ind w:left="102" w:right="150" w:hanging="86"/>
        <w:spacing w:before="220" w:line="316" w:lineRule="auto"/>
        <w:rPr/>
      </w:pPr>
      <w:r>
        <w:rPr>
          <w:spacing w:val="-2"/>
        </w:rPr>
        <w:t>13.治疗模式（模块）功能：不少于三种治疗模式（模块</w:t>
      </w:r>
      <w:r>
        <w:rPr>
          <w:spacing w:val="13"/>
        </w:rPr>
        <w:t>），</w:t>
      </w:r>
      <w:r>
        <w:rPr>
          <w:spacing w:val="-2"/>
        </w:rPr>
        <w:t>单独治疗模式（模块）不少</w:t>
      </w:r>
      <w:r>
        <w:rPr>
          <w:spacing w:val="-3"/>
        </w:rPr>
        <w:t>于 2 种，</w:t>
      </w:r>
      <w:r>
        <w:rPr/>
        <w:t xml:space="preserve"> </w:t>
      </w:r>
      <w:r>
        <w:rPr>
          <w:spacing w:val="-2"/>
        </w:rPr>
        <w:t>交替治疗模式（模块）不少于 1</w:t>
      </w:r>
      <w:r>
        <w:rPr>
          <w:spacing w:val="12"/>
        </w:rPr>
        <w:t xml:space="preserve"> </w:t>
      </w:r>
      <w:r>
        <w:rPr>
          <w:spacing w:val="-2"/>
        </w:rPr>
        <w:t>种。</w:t>
      </w:r>
    </w:p>
    <w:p>
      <w:pPr>
        <w:pStyle w:val="BodyText"/>
        <w:ind w:left="16"/>
        <w:spacing w:before="216" w:line="221" w:lineRule="auto"/>
        <w:rPr/>
      </w:pPr>
      <w:r>
        <w:rPr>
          <w:spacing w:val="-2"/>
        </w:rPr>
        <w:t>14.治疗模式选择方式：手动选择、自动识别切换功能。</w:t>
      </w:r>
    </w:p>
    <w:p>
      <w:pPr>
        <w:pStyle w:val="BodyText"/>
        <w:ind w:left="114" w:hanging="98"/>
        <w:spacing w:before="217" w:line="326" w:lineRule="auto"/>
        <w:rPr/>
      </w:pPr>
      <w:r>
        <w:rPr/>
        <w:t>15.▲工作模式：常规模式，工作频率≤0.5MHz，误差±10</w:t>
      </w:r>
      <w:r>
        <w:rPr>
          <w:spacing w:val="-1"/>
        </w:rPr>
        <w:t>%；深度模式，工作频率≤0.3MHz,误差±</w:t>
      </w:r>
      <w:r>
        <w:rPr/>
        <w:t xml:space="preserve"> </w:t>
      </w:r>
      <w:r>
        <w:rPr>
          <w:spacing w:val="-6"/>
        </w:rPr>
        <w:t>10%。</w:t>
      </w:r>
    </w:p>
    <w:p>
      <w:pPr>
        <w:pStyle w:val="BodyText"/>
        <w:ind w:left="16"/>
        <w:spacing w:before="197" w:line="221" w:lineRule="auto"/>
        <w:rPr/>
      </w:pPr>
      <w:r>
        <w:rPr>
          <w:spacing w:val="-1"/>
        </w:rPr>
        <w:t>16.脉冲模式（模块</w:t>
      </w:r>
      <w:r>
        <w:rPr>
          <w:spacing w:val="7"/>
        </w:rPr>
        <w:t>）：</w:t>
      </w:r>
      <w:r>
        <w:rPr>
          <w:spacing w:val="-1"/>
        </w:rPr>
        <w:t>在其他模式（模块）下，脉冲频率为 2Hz 和 4Hz。</w:t>
      </w:r>
    </w:p>
    <w:p>
      <w:pPr>
        <w:pStyle w:val="BodyText"/>
        <w:ind w:left="16"/>
        <w:spacing w:before="217" w:line="221" w:lineRule="auto"/>
        <w:rPr/>
      </w:pPr>
      <w:r>
        <w:rPr/>
        <w:t>17.多极（包括双极）工作模式：一种模式工作频率≤</w:t>
      </w:r>
      <w:r>
        <w:rPr>
          <w:spacing w:val="-1"/>
        </w:rPr>
        <w:t>1MHz；另一种工作频率≤0.5MHz。</w:t>
      </w:r>
    </w:p>
    <w:p>
      <w:pPr>
        <w:pStyle w:val="BodyText"/>
        <w:ind w:left="16"/>
        <w:spacing w:before="219" w:line="220" w:lineRule="auto"/>
        <w:rPr/>
      </w:pPr>
      <w:r>
        <w:rPr>
          <w:spacing w:val="-1"/>
        </w:rPr>
        <w:t>18.安全措施：具备手持式紧急开关或脚踏开关；有主电源开关，副电源开关。</w:t>
      </w:r>
    </w:p>
    <w:p>
      <w:pPr>
        <w:pStyle w:val="BodyText"/>
        <w:ind w:left="16"/>
        <w:spacing w:before="218" w:line="221" w:lineRule="auto"/>
        <w:rPr/>
      </w:pPr>
      <w:r>
        <w:rPr>
          <w:spacing w:val="-1"/>
        </w:rPr>
        <w:t>19.治疗手柄支架：支架具备可存放不少于 4 个治疗手柄（治疗头）。</w:t>
      </w:r>
    </w:p>
    <w:p>
      <w:pPr>
        <w:pStyle w:val="BodyText"/>
        <w:ind w:left="126"/>
        <w:spacing w:before="216" w:line="221" w:lineRule="auto"/>
        <w:rPr/>
      </w:pPr>
      <w:r>
        <w:rPr>
          <w:spacing w:val="-2"/>
        </w:rPr>
        <w:t>二、商务要求</w:t>
      </w:r>
    </w:p>
    <w:p>
      <w:pPr>
        <w:pStyle w:val="BodyText"/>
        <w:ind w:left="132"/>
        <w:spacing w:before="143"/>
        <w:rPr/>
      </w:pPr>
      <w:r>
        <w:rPr>
          <w:rFonts w:ascii="Calibri" w:hAnsi="Calibri" w:eastAsia="Calibri" w:cs="Calibri"/>
          <w:spacing w:val="-1"/>
        </w:rPr>
        <w:t>1</w:t>
      </w:r>
      <w:r>
        <w:rPr>
          <w:spacing w:val="-1"/>
        </w:rPr>
        <w:t>．交货期：自合同签订后</w:t>
      </w:r>
      <w:r>
        <w:rPr>
          <w:spacing w:val="-42"/>
        </w:rPr>
        <w:t xml:space="preserve"> </w:t>
      </w:r>
      <w:r>
        <w:rPr>
          <w:rFonts w:ascii="Calibri" w:hAnsi="Calibri" w:eastAsia="Calibri" w:cs="Calibri"/>
          <w:spacing w:val="-1"/>
        </w:rPr>
        <w:t>30</w:t>
      </w:r>
      <w:r>
        <w:rPr>
          <w:rFonts w:ascii="Calibri" w:hAnsi="Calibri" w:eastAsia="Calibri" w:cs="Calibri"/>
          <w:spacing w:val="12"/>
          <w:w w:val="101"/>
        </w:rPr>
        <w:t xml:space="preserve"> </w:t>
      </w:r>
      <w:r>
        <w:rPr>
          <w:spacing w:val="-1"/>
        </w:rPr>
        <w:t>个日历天内完成交货、安装及调试，确保采购单位</w:t>
      </w:r>
      <w:r>
        <w:rPr>
          <w:spacing w:val="-2"/>
        </w:rPr>
        <w:t>正常使用。</w:t>
      </w:r>
    </w:p>
    <w:p>
      <w:pPr>
        <w:pStyle w:val="BodyText"/>
        <w:ind w:left="126"/>
        <w:spacing w:before="39" w:line="241" w:lineRule="auto"/>
        <w:rPr/>
      </w:pPr>
      <w:r>
        <w:rPr>
          <w:rFonts w:ascii="Calibri" w:hAnsi="Calibri" w:eastAsia="Calibri" w:cs="Calibri"/>
          <w:spacing w:val="-1"/>
        </w:rPr>
        <w:t>2.</w:t>
      </w:r>
      <w:r>
        <w:rPr>
          <w:spacing w:val="-1"/>
        </w:rPr>
        <w:t>质保期：</w:t>
      </w:r>
      <w:r>
        <w:rPr>
          <w:spacing w:val="-52"/>
        </w:rPr>
        <w:t xml:space="preserve"> </w:t>
      </w:r>
      <w:r>
        <w:rPr>
          <w:spacing w:val="-1"/>
        </w:rPr>
        <w:t>自验收合格之日起至少</w:t>
      </w:r>
      <w:r>
        <w:rPr>
          <w:rFonts w:ascii="Calibri" w:hAnsi="Calibri" w:eastAsia="Calibri" w:cs="Calibri"/>
          <w:spacing w:val="-1"/>
        </w:rPr>
        <w:t>2</w:t>
      </w:r>
      <w:r>
        <w:rPr>
          <w:rFonts w:ascii="Calibri" w:hAnsi="Calibri" w:eastAsia="Calibri" w:cs="Calibri"/>
          <w:spacing w:val="15"/>
          <w:w w:val="101"/>
        </w:rPr>
        <w:t xml:space="preserve"> </w:t>
      </w:r>
      <w:r>
        <w:rPr>
          <w:spacing w:val="-1"/>
        </w:rPr>
        <w:t>年。</w:t>
      </w:r>
    </w:p>
    <w:p>
      <w:pPr>
        <w:pStyle w:val="BodyText"/>
        <w:ind w:left="125"/>
        <w:spacing w:before="38"/>
        <w:rPr/>
      </w:pPr>
      <w:r>
        <w:rPr>
          <w:rFonts w:ascii="Calibri" w:hAnsi="Calibri" w:eastAsia="Calibri" w:cs="Calibri"/>
          <w:spacing w:val="-2"/>
        </w:rPr>
        <w:t>3.</w:t>
      </w:r>
      <w:r>
        <w:rPr>
          <w:spacing w:val="-2"/>
        </w:rPr>
        <w:t>交货地点：采购人指定地址。</w:t>
      </w:r>
    </w:p>
    <w:p>
      <w:pPr>
        <w:pStyle w:val="BodyText"/>
        <w:ind w:left="119"/>
        <w:spacing w:before="39" w:line="239" w:lineRule="auto"/>
        <w:rPr/>
      </w:pPr>
      <w:r>
        <w:rPr>
          <w:rFonts w:ascii="Calibri" w:hAnsi="Calibri" w:eastAsia="Calibri" w:cs="Calibri"/>
          <w:spacing w:val="-4"/>
        </w:rPr>
        <w:t>4.</w:t>
      </w:r>
      <w:r>
        <w:rPr>
          <w:spacing w:val="-4"/>
        </w:rPr>
        <w:t>报价方式：</w:t>
      </w:r>
      <w:r>
        <w:rPr>
          <w:spacing w:val="-39"/>
        </w:rPr>
        <w:t xml:space="preserve"> </w:t>
      </w:r>
      <w:r>
        <w:rPr>
          <w:spacing w:val="-4"/>
        </w:rPr>
        <w:t>供应商的报价应包含为完成招</w:t>
      </w:r>
      <w:r>
        <w:rPr>
          <w:spacing w:val="-5"/>
        </w:rPr>
        <w:t>标文件提出的设备采购、运输、安装、税费、集成、</w:t>
      </w:r>
    </w:p>
    <w:p>
      <w:pPr>
        <w:spacing w:line="239" w:lineRule="auto"/>
        <w:sectPr>
          <w:footerReference w:type="default" r:id="rId1"/>
          <w:pgSz w:w="11907" w:h="16839"/>
          <w:pgMar w:top="1431" w:right="1339" w:bottom="1199" w:left="1435" w:header="0" w:footer="986" w:gutter="0"/>
        </w:sectPr>
        <w:rPr/>
      </w:pPr>
    </w:p>
    <w:p>
      <w:pPr>
        <w:pStyle w:val="BodyText"/>
        <w:ind w:left="3"/>
        <w:spacing w:before="60" w:line="219" w:lineRule="auto"/>
        <w:rPr/>
      </w:pPr>
      <w:r>
        <w:rPr>
          <w:spacing w:val="-1"/>
        </w:rPr>
        <w:t>调试、报检、耗材配送价格以及售后服务等全部相关工作所有可能发生的费用。</w:t>
      </w:r>
    </w:p>
    <w:p>
      <w:pPr>
        <w:pStyle w:val="BodyText"/>
        <w:ind w:left="1" w:right="74" w:firstLine="370"/>
        <w:spacing w:before="61" w:line="274" w:lineRule="auto"/>
        <w:rPr>
          <w:rFonts w:ascii="Calibri" w:hAnsi="Calibri" w:eastAsia="Calibri" w:cs="Calibri"/>
        </w:rPr>
      </w:pPr>
      <w:r>
        <w:rPr>
          <w:spacing w:val="1"/>
        </w:rPr>
        <w:t>供应商应提供耗材价格，以便综合测算运行成本，但不</w:t>
      </w:r>
      <w:r>
        <w:rPr/>
        <w:t>保证中标成交供应商有耗材配送资格。 </w:t>
      </w:r>
      <w:r>
        <w:rPr>
          <w:rFonts w:ascii="Calibri" w:hAnsi="Calibri" w:eastAsia="Calibri" w:cs="Calibri"/>
          <w:spacing w:val="-2"/>
        </w:rPr>
        <w:t>(</w:t>
      </w:r>
      <w:r>
        <w:rPr>
          <w:spacing w:val="-2"/>
        </w:rPr>
        <w:t>旨在加强管理医疗设备配套使用医用耗材，严防出现医疗设备低价入院后需高价购买专用耗材的问</w:t>
      </w:r>
      <w:r>
        <w:rPr>
          <w:spacing w:val="3"/>
        </w:rPr>
        <w:t xml:space="preserve"> </w:t>
      </w:r>
      <w:r>
        <w:rPr>
          <w:spacing w:val="-4"/>
        </w:rPr>
        <w:t>题</w:t>
      </w:r>
      <w:r>
        <w:rPr>
          <w:rFonts w:ascii="Calibri" w:hAnsi="Calibri" w:eastAsia="Calibri" w:cs="Calibri"/>
          <w:spacing w:val="-4"/>
        </w:rPr>
        <w:t>)</w:t>
      </w:r>
    </w:p>
    <w:p>
      <w:pPr>
        <w:pStyle w:val="BodyText"/>
        <w:ind w:left="373"/>
        <w:spacing w:before="2" w:line="241" w:lineRule="auto"/>
        <w:rPr/>
      </w:pPr>
      <w:r>
        <w:rPr>
          <w:rFonts w:ascii="Calibri" w:hAnsi="Calibri" w:eastAsia="Calibri" w:cs="Calibri"/>
        </w:rPr>
        <w:t>5.</w:t>
      </w:r>
      <w:r>
        <w:rPr/>
        <w:t>人员培训：应对操作人员进行现场操作培训，直到操作人员完全</w:t>
      </w:r>
      <w:r>
        <w:rPr>
          <w:spacing w:val="-1"/>
        </w:rPr>
        <w:t>掌握为止。</w:t>
      </w:r>
    </w:p>
    <w:p>
      <w:pPr>
        <w:pStyle w:val="BodyText"/>
        <w:ind w:left="374"/>
        <w:spacing w:before="37" w:line="241" w:lineRule="auto"/>
        <w:rPr/>
      </w:pPr>
      <w:r>
        <w:rPr>
          <w:rFonts w:ascii="Calibri" w:hAnsi="Calibri" w:eastAsia="Calibri" w:cs="Calibri"/>
          <w:spacing w:val="-2"/>
        </w:rPr>
        <w:t>6.</w:t>
      </w:r>
      <w:r>
        <w:rPr>
          <w:spacing w:val="-2"/>
        </w:rPr>
        <w:t>售后服务</w:t>
      </w:r>
    </w:p>
    <w:p>
      <w:pPr>
        <w:pStyle w:val="BodyText"/>
        <w:ind w:left="374"/>
        <w:spacing w:before="37" w:line="241" w:lineRule="auto"/>
        <w:rPr/>
      </w:pPr>
      <w:r>
        <w:rPr>
          <w:rFonts w:ascii="Calibri" w:hAnsi="Calibri" w:eastAsia="Calibri" w:cs="Calibri"/>
          <w:spacing w:val="-1"/>
        </w:rPr>
        <w:t>6.1</w:t>
      </w:r>
      <w:r>
        <w:rPr>
          <w:rFonts w:ascii="Calibri" w:hAnsi="Calibri" w:eastAsia="Calibri" w:cs="Calibri"/>
          <w:spacing w:val="14"/>
          <w:w w:val="101"/>
        </w:rPr>
        <w:t xml:space="preserve"> </w:t>
      </w:r>
      <w:r>
        <w:rPr>
          <w:spacing w:val="-1"/>
        </w:rPr>
        <w:t>质保期期内免费保修服务，包括不限于维修、维保、配件更换。</w:t>
      </w:r>
    </w:p>
    <w:p>
      <w:pPr>
        <w:pStyle w:val="BodyText"/>
        <w:ind w:left="19" w:right="76" w:firstLine="355"/>
        <w:spacing w:before="39" w:line="247" w:lineRule="auto"/>
        <w:rPr/>
      </w:pPr>
      <w:r>
        <w:rPr>
          <w:rFonts w:ascii="Calibri" w:hAnsi="Calibri" w:eastAsia="Calibri" w:cs="Calibri"/>
          <w:spacing w:val="-2"/>
        </w:rPr>
        <w:t>6.2</w:t>
      </w:r>
      <w:r>
        <w:rPr>
          <w:rFonts w:ascii="Calibri" w:hAnsi="Calibri" w:eastAsia="Calibri" w:cs="Calibri"/>
          <w:spacing w:val="12"/>
          <w:w w:val="101"/>
        </w:rPr>
        <w:t xml:space="preserve"> </w:t>
      </w:r>
      <w:r>
        <w:rPr>
          <w:spacing w:val="-2"/>
        </w:rPr>
        <w:t>根据供应商的售后服务方案进行评分，包括但不限于包括服务响应时间、人员</w:t>
      </w:r>
      <w:r>
        <w:rPr>
          <w:spacing w:val="-3"/>
        </w:rPr>
        <w:t>配备方案、备</w:t>
      </w:r>
      <w:r>
        <w:rPr/>
        <w:t xml:space="preserve"> </w:t>
      </w:r>
      <w:r>
        <w:rPr>
          <w:spacing w:val="-1"/>
        </w:rPr>
        <w:t>品备件数量、维修方案、持续性服务方案内容等</w:t>
      </w:r>
    </w:p>
    <w:p>
      <w:pPr>
        <w:pStyle w:val="BodyText"/>
        <w:ind w:right="18" w:firstLine="374"/>
        <w:spacing w:before="62" w:line="247" w:lineRule="auto"/>
        <w:rPr/>
      </w:pPr>
      <w:r>
        <w:rPr>
          <w:rFonts w:ascii="Calibri" w:hAnsi="Calibri" w:eastAsia="Calibri" w:cs="Calibri"/>
          <w:spacing w:val="-5"/>
        </w:rPr>
        <w:t>6.3</w:t>
      </w:r>
      <w:r>
        <w:rPr>
          <w:rFonts w:ascii="Calibri" w:hAnsi="Calibri" w:eastAsia="Calibri" w:cs="Calibri"/>
          <w:spacing w:val="12"/>
          <w:w w:val="101"/>
        </w:rPr>
        <w:t xml:space="preserve"> </w:t>
      </w:r>
      <w:r>
        <w:rPr>
          <w:spacing w:val="-5"/>
        </w:rPr>
        <w:t>供应商为代理商的，需提供制造商针对</w:t>
      </w:r>
      <w:r>
        <w:rPr>
          <w:spacing w:val="-6"/>
        </w:rPr>
        <w:t>该项目授权书及售后服务承诺函；供应商为制造商的，</w:t>
      </w:r>
      <w:r>
        <w:rPr/>
        <w:t xml:space="preserve"> </w:t>
      </w:r>
      <w:r>
        <w:rPr/>
        <w:t>仅需提供针对该项目售后服务承诺函（售后服务承诺</w:t>
      </w:r>
      <w:r>
        <w:rPr>
          <w:spacing w:val="-1"/>
        </w:rPr>
        <w:t>函的时间应不少于质保期时间）。</w:t>
      </w:r>
    </w:p>
    <w:p>
      <w:pPr>
        <w:pStyle w:val="BodyText"/>
        <w:ind w:left="3" w:right="76" w:firstLine="371"/>
        <w:spacing w:before="62" w:line="257" w:lineRule="auto"/>
        <w:rPr/>
      </w:pPr>
      <w:r>
        <w:rPr>
          <w:rFonts w:ascii="Calibri" w:hAnsi="Calibri" w:eastAsia="Calibri" w:cs="Calibri"/>
          <w:spacing w:val="-2"/>
        </w:rPr>
        <w:t>6.4</w:t>
      </w:r>
      <w:r>
        <w:rPr>
          <w:rFonts w:ascii="Calibri" w:hAnsi="Calibri" w:eastAsia="Calibri" w:cs="Calibri"/>
          <w:spacing w:val="18"/>
          <w:w w:val="101"/>
        </w:rPr>
        <w:t xml:space="preserve"> </w:t>
      </w:r>
      <w:r>
        <w:rPr>
          <w:spacing w:val="-2"/>
        </w:rPr>
        <w:t>维修响应时间：</w:t>
      </w:r>
      <w:r>
        <w:rPr>
          <w:rFonts w:ascii="Calibri" w:hAnsi="Calibri" w:eastAsia="Calibri" w:cs="Calibri"/>
          <w:spacing w:val="-2"/>
        </w:rPr>
        <w:t>2</w:t>
      </w:r>
      <w:r>
        <w:rPr>
          <w:rFonts w:ascii="Calibri" w:hAnsi="Calibri" w:eastAsia="Calibri" w:cs="Calibri"/>
          <w:spacing w:val="17"/>
          <w:w w:val="101"/>
        </w:rPr>
        <w:t xml:space="preserve"> </w:t>
      </w:r>
      <w:r>
        <w:rPr>
          <w:spacing w:val="-2"/>
        </w:rPr>
        <w:t>小时内响应做出维修方案决定，如</w:t>
      </w:r>
      <w:r>
        <w:rPr>
          <w:spacing w:val="-42"/>
        </w:rPr>
        <w:t xml:space="preserve"> </w:t>
      </w:r>
      <w:r>
        <w:rPr>
          <w:rFonts w:ascii="Calibri" w:hAnsi="Calibri" w:eastAsia="Calibri" w:cs="Calibri"/>
          <w:spacing w:val="-2"/>
        </w:rPr>
        <w:t>2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2"/>
        </w:rPr>
        <w:t>小时内无法通过电话解决问题，维修</w:t>
      </w:r>
      <w:r>
        <w:rPr/>
        <w:t xml:space="preserve"> </w:t>
      </w:r>
      <w:r>
        <w:rPr>
          <w:spacing w:val="-1"/>
        </w:rPr>
        <w:t>人员必须在接到故障报告后</w:t>
      </w:r>
      <w:r>
        <w:rPr>
          <w:spacing w:val="-39"/>
        </w:rPr>
        <w:t xml:space="preserve"> </w:t>
      </w:r>
      <w:r>
        <w:rPr>
          <w:rFonts w:ascii="Calibri" w:hAnsi="Calibri" w:eastAsia="Calibri" w:cs="Calibri"/>
          <w:spacing w:val="-1"/>
        </w:rPr>
        <w:t>24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1"/>
        </w:rPr>
        <w:t>小时内到达，国家法定节假日不除外。</w:t>
      </w:r>
    </w:p>
    <w:p>
      <w:pPr>
        <w:pStyle w:val="BodyText"/>
        <w:ind w:left="374"/>
        <w:spacing w:before="40" w:line="239" w:lineRule="auto"/>
        <w:rPr/>
      </w:pPr>
      <w:r>
        <w:rPr>
          <w:rFonts w:ascii="Calibri" w:hAnsi="Calibri" w:eastAsia="Calibri" w:cs="Calibri"/>
          <w:spacing w:val="-1"/>
        </w:rPr>
        <w:t>6.5</w:t>
      </w:r>
      <w:r>
        <w:rPr>
          <w:rFonts w:ascii="Calibri" w:hAnsi="Calibri" w:eastAsia="Calibri" w:cs="Calibri"/>
          <w:spacing w:val="15"/>
          <w:w w:val="101"/>
        </w:rPr>
        <w:t xml:space="preserve"> </w:t>
      </w:r>
      <w:r>
        <w:rPr>
          <w:spacing w:val="-1"/>
        </w:rPr>
        <w:t>提供设备配置清单、备品备件清单、试剂耗材价格清单（如有）。</w:t>
      </w:r>
    </w:p>
    <w:p>
      <w:pPr>
        <w:pStyle w:val="BodyText"/>
        <w:ind w:left="1" w:right="76" w:firstLine="372"/>
        <w:spacing w:before="40" w:line="256" w:lineRule="auto"/>
        <w:rPr/>
      </w:pPr>
      <w:r>
        <w:rPr>
          <w:rFonts w:ascii="Calibri" w:hAnsi="Calibri" w:eastAsia="Calibri" w:cs="Calibri"/>
          <w:spacing w:val="-3"/>
        </w:rPr>
        <w:t>6.6</w:t>
      </w:r>
      <w:r>
        <w:rPr>
          <w:rFonts w:ascii="Calibri" w:hAnsi="Calibri" w:eastAsia="Calibri" w:cs="Calibri"/>
          <w:spacing w:val="11"/>
          <w:w w:val="102"/>
        </w:rPr>
        <w:t xml:space="preserve"> </w:t>
      </w:r>
      <w:r>
        <w:rPr>
          <w:spacing w:val="-3"/>
        </w:rPr>
        <w:t>供应商交付设备时，应按照《国家食</w:t>
      </w:r>
      <w:r>
        <w:rPr>
          <w:spacing w:val="-4"/>
        </w:rPr>
        <w:t>品药品监督管理总局》第</w:t>
      </w:r>
      <w:r>
        <w:rPr>
          <w:spacing w:val="-35"/>
        </w:rPr>
        <w:t xml:space="preserve"> </w:t>
      </w:r>
      <w:r>
        <w:rPr>
          <w:rFonts w:ascii="Calibri" w:hAnsi="Calibri" w:eastAsia="Calibri" w:cs="Calibri"/>
          <w:spacing w:val="-4"/>
        </w:rPr>
        <w:t>18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4"/>
        </w:rPr>
        <w:t>号令第</w:t>
      </w:r>
      <w:r>
        <w:rPr>
          <w:spacing w:val="-35"/>
        </w:rPr>
        <w:t xml:space="preserve"> </w:t>
      </w:r>
      <w:r>
        <w:rPr>
          <w:rFonts w:ascii="Calibri" w:hAnsi="Calibri" w:eastAsia="Calibri" w:cs="Calibri"/>
          <w:spacing w:val="-4"/>
        </w:rPr>
        <w:t>17</w:t>
      </w:r>
      <w:r>
        <w:rPr>
          <w:rFonts w:ascii="Calibri" w:hAnsi="Calibri" w:eastAsia="Calibri" w:cs="Calibri"/>
          <w:spacing w:val="16"/>
          <w:w w:val="102"/>
        </w:rPr>
        <w:t xml:space="preserve"> </w:t>
      </w:r>
      <w:r>
        <w:rPr>
          <w:spacing w:val="-4"/>
        </w:rPr>
        <w:t>条的要求提供相</w:t>
      </w:r>
      <w:r>
        <w:rPr/>
        <w:t xml:space="preserve"> </w:t>
      </w:r>
      <w:r>
        <w:rPr/>
        <w:t>应的维护手册、维修手册、软件备份、故障代</w:t>
      </w:r>
      <w:r>
        <w:rPr>
          <w:spacing w:val="-1"/>
        </w:rPr>
        <w:t>码表、备件清单、零部件、维修密码等维护维修必需</w:t>
      </w:r>
      <w:r>
        <w:rPr/>
        <w:t xml:space="preserve"> </w:t>
      </w:r>
      <w:r>
        <w:rPr>
          <w:spacing w:val="-3"/>
        </w:rPr>
        <w:t>的材料和信息。</w:t>
      </w:r>
    </w:p>
    <w:p>
      <w:pPr>
        <w:pStyle w:val="BodyText"/>
        <w:ind w:left="373"/>
        <w:spacing w:before="62" w:line="242" w:lineRule="auto"/>
        <w:rPr/>
      </w:pPr>
      <w:r>
        <w:rPr>
          <w:rFonts w:ascii="Calibri" w:hAnsi="Calibri" w:eastAsia="Calibri" w:cs="Calibri"/>
          <w:spacing w:val="-7"/>
        </w:rPr>
        <w:t>7.</w:t>
      </w:r>
      <w:r>
        <w:rPr>
          <w:spacing w:val="-7"/>
        </w:rPr>
        <w:t>业绩：</w:t>
      </w:r>
    </w:p>
    <w:p>
      <w:pPr>
        <w:pStyle w:val="BodyText"/>
        <w:ind w:left="371"/>
        <w:spacing w:before="37" w:line="220" w:lineRule="auto"/>
        <w:rPr/>
      </w:pPr>
      <w:r>
        <w:rPr>
          <w:spacing w:val="-1"/>
        </w:rPr>
        <w:t>供应商提供近三年的所响应产品业绩。</w:t>
      </w:r>
    </w:p>
    <w:p>
      <w:pPr>
        <w:pStyle w:val="BodyText"/>
        <w:ind w:left="371"/>
        <w:spacing w:before="61" w:line="241" w:lineRule="auto"/>
        <w:rPr/>
      </w:pPr>
      <w:r>
        <w:rPr>
          <w:rFonts w:ascii="Calibri" w:hAnsi="Calibri" w:eastAsia="Calibri" w:cs="Calibri"/>
          <w:spacing w:val="-4"/>
        </w:rPr>
        <w:t>8.</w:t>
      </w:r>
      <w:r>
        <w:rPr>
          <w:spacing w:val="-4"/>
        </w:rPr>
        <w:t>产品安装调试：</w:t>
      </w:r>
    </w:p>
    <w:p>
      <w:pPr>
        <w:pStyle w:val="BodyText"/>
        <w:ind w:left="381"/>
        <w:spacing w:before="39"/>
        <w:rPr/>
      </w:pPr>
      <w:r>
        <w:rPr>
          <w:rFonts w:ascii="Calibri" w:hAnsi="Calibri" w:eastAsia="Calibri" w:cs="Calibri"/>
          <w:spacing w:val="-1"/>
        </w:rPr>
        <w:t>1</w:t>
      </w:r>
      <w:r>
        <w:rPr>
          <w:spacing w:val="-1"/>
        </w:rPr>
        <w:t>）供应商负责合同供货设备的现场安装调试以及所需工具及消耗性</w:t>
      </w:r>
      <w:r>
        <w:rPr>
          <w:spacing w:val="-2"/>
        </w:rPr>
        <w:t>材料等；</w:t>
      </w:r>
    </w:p>
    <w:p>
      <w:pPr>
        <w:pStyle w:val="BodyText"/>
        <w:ind w:left="3" w:right="76" w:firstLine="371"/>
        <w:spacing w:before="37" w:line="257" w:lineRule="auto"/>
        <w:rPr/>
      </w:pPr>
      <w:r>
        <w:rPr>
          <w:rFonts w:ascii="Calibri" w:hAnsi="Calibri" w:eastAsia="Calibri" w:cs="Calibri"/>
          <w:spacing w:val="-2"/>
        </w:rPr>
        <w:t>2</w:t>
      </w:r>
      <w:r>
        <w:rPr>
          <w:spacing w:val="-2"/>
        </w:rPr>
        <w:t>）合同签订后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2"/>
        </w:rPr>
        <w:t>5</w:t>
      </w:r>
      <w:r>
        <w:rPr>
          <w:rFonts w:ascii="Calibri" w:hAnsi="Calibri" w:eastAsia="Calibri" w:cs="Calibri"/>
          <w:spacing w:val="12"/>
          <w:w w:val="101"/>
        </w:rPr>
        <w:t xml:space="preserve"> </w:t>
      </w:r>
      <w:r>
        <w:rPr>
          <w:spacing w:val="-2"/>
        </w:rPr>
        <w:t>个工作日内，供应商应向采购人提交安装</w:t>
      </w:r>
      <w:r>
        <w:rPr>
          <w:spacing w:val="-3"/>
        </w:rPr>
        <w:t>调试计划。安装调试计划参考以下内</w:t>
      </w:r>
      <w:r>
        <w:rPr/>
        <w:t xml:space="preserve"> </w:t>
      </w:r>
      <w:r>
        <w:rPr>
          <w:spacing w:val="-1"/>
        </w:rPr>
        <w:t>容：安装调试手册、安装调试进度安排、安装方式、调试方法、调试工具的准备、安装调试环境的</w:t>
      </w:r>
      <w:r>
        <w:rPr>
          <w:spacing w:val="18"/>
        </w:rPr>
        <w:t xml:space="preserve"> </w:t>
      </w:r>
      <w:r>
        <w:rPr>
          <w:spacing w:val="-3"/>
        </w:rPr>
        <w:t>准备、其他需要的准备工作；</w:t>
      </w:r>
    </w:p>
    <w:p>
      <w:pPr>
        <w:pStyle w:val="BodyText"/>
        <w:ind w:left="374"/>
        <w:spacing w:before="61"/>
        <w:rPr/>
      </w:pPr>
      <w:r>
        <w:rPr>
          <w:rFonts w:ascii="Calibri" w:hAnsi="Calibri" w:eastAsia="Calibri" w:cs="Calibri"/>
          <w:spacing w:val="-1"/>
        </w:rPr>
        <w:t>3</w:t>
      </w:r>
      <w:r>
        <w:rPr>
          <w:spacing w:val="-1"/>
        </w:rPr>
        <w:t>）设备开箱时，由供应商和采购人共同清点，如有短缺或损坏，由供应商负责补充、更换；</w:t>
      </w:r>
    </w:p>
    <w:p>
      <w:pPr>
        <w:pStyle w:val="BodyText"/>
        <w:ind w:left="368"/>
        <w:spacing w:before="39"/>
        <w:rPr/>
      </w:pPr>
      <w:r>
        <w:rPr>
          <w:rFonts w:ascii="Calibri" w:hAnsi="Calibri" w:eastAsia="Calibri" w:cs="Calibri"/>
          <w:spacing w:val="-2"/>
        </w:rPr>
        <w:t>4</w:t>
      </w:r>
      <w:r>
        <w:rPr>
          <w:spacing w:val="-2"/>
        </w:rPr>
        <w:t>）安装调试工作应在采购人代表在场时进行；</w:t>
      </w:r>
    </w:p>
    <w:p>
      <w:pPr>
        <w:pStyle w:val="BodyText"/>
        <w:ind w:left="1" w:firstLine="372"/>
        <w:spacing w:before="40" w:line="256" w:lineRule="auto"/>
        <w:rPr/>
      </w:pPr>
      <w:r>
        <w:rPr>
          <w:rFonts w:ascii="Calibri" w:hAnsi="Calibri" w:eastAsia="Calibri" w:cs="Calibri"/>
        </w:rPr>
        <w:t>5</w:t>
      </w:r>
      <w:r>
        <w:rPr/>
        <w:t>）安装调试过程中，由于供应商原因造成的缺损由供应商负责补充、更换；安装</w:t>
      </w:r>
      <w:r>
        <w:rPr>
          <w:spacing w:val="-1"/>
        </w:rPr>
        <w:t>调试完成后，</w:t>
      </w:r>
      <w:r>
        <w:rPr/>
        <w:t xml:space="preserve"> </w:t>
      </w:r>
      <w:r>
        <w:rPr>
          <w:spacing w:val="-3"/>
        </w:rPr>
        <w:t>供应商应向采购人提供安装调试报告，安装</w:t>
      </w:r>
      <w:r>
        <w:rPr>
          <w:spacing w:val="-4"/>
        </w:rPr>
        <w:t>调试报告至少应包括以下内容：供货设备安装调试结果、</w:t>
      </w:r>
      <w:r>
        <w:rPr/>
        <w:t xml:space="preserve"> </w:t>
      </w:r>
      <w:r>
        <w:rPr>
          <w:spacing w:val="-2"/>
        </w:rPr>
        <w:t>安装调试中出现的问题及解决办法。</w:t>
      </w:r>
    </w:p>
    <w:p>
      <w:pPr>
        <w:pStyle w:val="BodyText"/>
        <w:ind w:left="381"/>
        <w:spacing w:before="61" w:line="241" w:lineRule="auto"/>
        <w:rPr/>
      </w:pPr>
      <w:r>
        <w:rPr>
          <w:rFonts w:ascii="Calibri" w:hAnsi="Calibri" w:eastAsia="Calibri" w:cs="Calibri"/>
          <w:spacing w:val="-3"/>
        </w:rPr>
        <w:t>10.</w:t>
      </w:r>
      <w:r>
        <w:rPr>
          <w:spacing w:val="-3"/>
        </w:rPr>
        <w:t>验收要求</w:t>
      </w:r>
    </w:p>
    <w:p>
      <w:pPr>
        <w:pStyle w:val="BodyText"/>
        <w:ind w:left="381"/>
        <w:spacing w:before="38" w:line="241" w:lineRule="auto"/>
        <w:rPr/>
      </w:pPr>
      <w:r>
        <w:rPr>
          <w:rFonts w:ascii="Calibri" w:hAnsi="Calibri" w:eastAsia="Calibri" w:cs="Calibri"/>
          <w:spacing w:val="-6"/>
        </w:rPr>
        <w:t>10.1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6"/>
        </w:rPr>
        <w:t>验收标准：</w:t>
      </w:r>
    </w:p>
    <w:p>
      <w:pPr>
        <w:pStyle w:val="BodyText"/>
        <w:ind w:left="1" w:right="74" w:firstLine="369"/>
        <w:spacing w:before="38" w:line="256" w:lineRule="auto"/>
        <w:rPr/>
      </w:pPr>
      <w:r>
        <w:rPr>
          <w:spacing w:val="1"/>
        </w:rPr>
        <w:t>①成交供应商交付的货物必须符合中华人民共和国国家</w:t>
      </w:r>
      <w:r>
        <w:rPr/>
        <w:t>标准，行业标准、产品质量标准以及相 </w:t>
      </w:r>
      <w:r>
        <w:rPr/>
        <w:t>关技术规范。②成交供应商交付的货物必须保证</w:t>
      </w:r>
      <w:r>
        <w:rPr>
          <w:spacing w:val="-1"/>
        </w:rPr>
        <w:t>全新、进货渠道合法、并出具出厂合格证。③成交</w:t>
      </w:r>
      <w:r>
        <w:rPr/>
        <w:t xml:space="preserve"> </w:t>
      </w:r>
      <w:r>
        <w:rPr>
          <w:spacing w:val="-1"/>
        </w:rPr>
        <w:t>供应商保证货物的规格型号、数量、参数等要求与本合同及产品说明书完全相同。</w:t>
      </w:r>
    </w:p>
    <w:p>
      <w:pPr>
        <w:pStyle w:val="BodyText"/>
        <w:ind w:left="381"/>
        <w:spacing w:before="62" w:line="241" w:lineRule="auto"/>
        <w:rPr/>
      </w:pPr>
      <w:r>
        <w:rPr>
          <w:rFonts w:ascii="Calibri" w:hAnsi="Calibri" w:eastAsia="Calibri" w:cs="Calibri"/>
          <w:spacing w:val="-4"/>
        </w:rPr>
        <w:t>10.2</w:t>
      </w:r>
      <w:r>
        <w:rPr>
          <w:rFonts w:ascii="Calibri" w:hAnsi="Calibri" w:eastAsia="Calibri" w:cs="Calibri"/>
          <w:spacing w:val="25"/>
        </w:rPr>
        <w:t xml:space="preserve"> </w:t>
      </w:r>
      <w:r>
        <w:rPr>
          <w:spacing w:val="-4"/>
        </w:rPr>
        <w:t>验收范围包括但不限于：</w:t>
      </w:r>
    </w:p>
    <w:p>
      <w:pPr>
        <w:pStyle w:val="BodyText"/>
        <w:ind w:left="3" w:right="79" w:firstLine="367"/>
        <w:spacing w:before="40" w:line="247" w:lineRule="auto"/>
        <w:rPr/>
      </w:pPr>
      <w:r>
        <w:rPr>
          <w:spacing w:val="1"/>
        </w:rPr>
        <w:t>①型号规格、数量、外观。②出厂合格证。③货物组件</w:t>
      </w:r>
      <w:r>
        <w:rPr/>
        <w:t>及所附技术资料。④货物功能、性能等 </w:t>
      </w:r>
      <w:r>
        <w:rPr>
          <w:spacing w:val="-5"/>
        </w:rPr>
        <w:t>参数指标。</w:t>
      </w:r>
    </w:p>
    <w:p>
      <w:pPr>
        <w:pStyle w:val="BodyText"/>
        <w:ind w:left="381"/>
        <w:spacing w:before="61" w:line="241" w:lineRule="auto"/>
        <w:rPr/>
      </w:pPr>
      <w:r>
        <w:rPr>
          <w:rFonts w:ascii="Calibri" w:hAnsi="Calibri" w:eastAsia="Calibri" w:cs="Calibri"/>
          <w:spacing w:val="-2"/>
        </w:rPr>
        <w:t>10.3</w:t>
      </w:r>
      <w:r>
        <w:rPr>
          <w:rFonts w:ascii="Calibri" w:hAnsi="Calibri" w:eastAsia="Calibri" w:cs="Calibri"/>
          <w:spacing w:val="14"/>
        </w:rPr>
        <w:t xml:space="preserve"> </w:t>
      </w:r>
      <w:r>
        <w:rPr>
          <w:spacing w:val="-2"/>
        </w:rPr>
        <w:t>验收合格的确认：</w:t>
      </w:r>
    </w:p>
    <w:p>
      <w:pPr>
        <w:pStyle w:val="BodyText"/>
        <w:ind w:right="76" w:firstLine="372"/>
        <w:spacing w:before="39" w:line="274" w:lineRule="auto"/>
        <w:jc w:val="both"/>
        <w:rPr/>
      </w:pPr>
      <w:r>
        <w:rPr>
          <w:spacing w:val="1"/>
        </w:rPr>
        <w:t>经采购人确认全部货物通过验收，视为验收合格。</w:t>
      </w:r>
      <w:r>
        <w:rPr/>
        <w:t>如验收不合格，采购人有权要求更换货物或 </w:t>
      </w:r>
      <w:r>
        <w:rPr/>
        <w:t>拒绝付款。因成交供应商未按时提供本合同约</w:t>
      </w:r>
      <w:r>
        <w:rPr>
          <w:spacing w:val="-1"/>
        </w:rPr>
        <w:t>定的货物，造成采购人损失，采购人有权追究中标人</w:t>
      </w:r>
      <w:r>
        <w:rPr/>
        <w:t xml:space="preserve"> </w:t>
      </w:r>
      <w:r>
        <w:rPr>
          <w:spacing w:val="-1"/>
        </w:rPr>
        <w:t>违约责任，要求中标人赔偿损失。</w:t>
      </w:r>
    </w:p>
    <w:p>
      <w:pPr>
        <w:pStyle w:val="BodyText"/>
        <w:ind w:left="3" w:right="123" w:firstLine="378"/>
        <w:spacing w:before="1" w:line="265" w:lineRule="auto"/>
        <w:rPr/>
      </w:pPr>
      <w:r>
        <w:rPr>
          <w:rFonts w:ascii="Calibri" w:hAnsi="Calibri" w:eastAsia="Calibri" w:cs="Calibri"/>
          <w:spacing w:val="-6"/>
        </w:rPr>
        <w:t>10.4 </w:t>
      </w:r>
      <w:r>
        <w:rPr>
          <w:spacing w:val="-6"/>
        </w:rPr>
        <w:t>验收不合格的产品采购人应在</w:t>
      </w:r>
      <w:r>
        <w:rPr>
          <w:rFonts w:ascii="Calibri" w:hAnsi="Calibri" w:eastAsia="Calibri" w:cs="Calibri"/>
          <w:spacing w:val="-6"/>
        </w:rPr>
        <w:t>5   </w:t>
      </w:r>
      <w:r>
        <w:rPr>
          <w:spacing w:val="-6"/>
        </w:rPr>
        <w:t>日内予以退换，如验收仍不合格，则采购人可以要求退货，</w:t>
      </w:r>
      <w:r>
        <w:rPr>
          <w:spacing w:val="8"/>
        </w:rPr>
        <w:t xml:space="preserve"> </w:t>
      </w:r>
      <w:r>
        <w:rPr>
          <w:spacing w:val="-1"/>
        </w:rPr>
        <w:t>成交供应商赔偿由此给采购人造成的全部损失。</w:t>
      </w:r>
    </w:p>
    <w:p>
      <w:pPr>
        <w:pStyle w:val="BodyText"/>
        <w:ind w:left="381"/>
        <w:spacing w:before="19" w:line="242" w:lineRule="auto"/>
        <w:rPr/>
      </w:pPr>
      <w:r>
        <w:rPr>
          <w:rFonts w:ascii="Calibri" w:hAnsi="Calibri" w:eastAsia="Calibri" w:cs="Calibri"/>
          <w:spacing w:val="-3"/>
        </w:rPr>
        <w:t>11.</w:t>
      </w:r>
      <w:r>
        <w:rPr>
          <w:spacing w:val="-3"/>
        </w:rPr>
        <w:t>其他要求</w:t>
      </w:r>
    </w:p>
    <w:p>
      <w:pPr>
        <w:spacing w:line="242" w:lineRule="auto"/>
        <w:sectPr>
          <w:footerReference w:type="default" r:id="rId2"/>
          <w:pgSz w:w="11907" w:h="16839"/>
          <w:pgMar w:top="1431" w:right="1632" w:bottom="1199" w:left="1187" w:header="0" w:footer="986" w:gutter="0"/>
        </w:sectPr>
        <w:rPr/>
      </w:pPr>
    </w:p>
    <w:p>
      <w:pPr>
        <w:pStyle w:val="BodyText"/>
        <w:ind w:firstLine="379"/>
        <w:spacing w:before="60" w:line="247" w:lineRule="auto"/>
        <w:rPr/>
      </w:pPr>
      <w:r>
        <w:rPr>
          <w:rFonts w:ascii="Calibri" w:hAnsi="Calibri" w:eastAsia="Calibri" w:cs="Calibri"/>
        </w:rPr>
        <w:t>11.1</w:t>
      </w:r>
      <w:r>
        <w:rPr>
          <w:rFonts w:ascii="Calibri" w:hAnsi="Calibri" w:eastAsia="Calibri" w:cs="Calibri"/>
          <w:spacing w:val="39"/>
        </w:rPr>
        <w:t xml:space="preserve"> </w:t>
      </w:r>
      <w:r>
        <w:rPr/>
        <w:t>供应商在成交后，发生侵犯专利权的行</w:t>
      </w:r>
      <w:r>
        <w:rPr>
          <w:spacing w:val="-1"/>
        </w:rPr>
        <w:t>为时，其侵权责任与采购人无关，应由成交供应商</w:t>
      </w:r>
      <w:r>
        <w:rPr/>
        <w:t xml:space="preserve"> </w:t>
      </w:r>
      <w:r>
        <w:rPr>
          <w:spacing w:val="-1"/>
        </w:rPr>
        <w:t>承担相应的责任，并不得影响采购人的利益。</w:t>
      </w:r>
    </w:p>
    <w:p>
      <w:pPr>
        <w:pStyle w:val="BodyText"/>
        <w:ind w:left="379"/>
        <w:spacing w:before="61" w:line="242" w:lineRule="auto"/>
        <w:rPr/>
      </w:pPr>
      <w:r>
        <w:rPr>
          <w:rFonts w:ascii="Calibri" w:hAnsi="Calibri" w:eastAsia="Calibri" w:cs="Calibri"/>
          <w:spacing w:val="-2"/>
        </w:rPr>
        <w:t>11.2</w:t>
      </w:r>
      <w:r>
        <w:rPr>
          <w:rFonts w:ascii="Calibri" w:hAnsi="Calibri" w:eastAsia="Calibri" w:cs="Calibri"/>
          <w:spacing w:val="29"/>
        </w:rPr>
        <w:t xml:space="preserve"> </w:t>
      </w:r>
      <w:r>
        <w:rPr>
          <w:spacing w:val="-2"/>
        </w:rPr>
        <w:t>其他未尽事宜于合同中详细约定。</w:t>
      </w:r>
    </w:p>
    <w:p>
      <w:pPr>
        <w:pStyle w:val="BodyText"/>
        <w:ind w:left="3" w:right="2" w:firstLine="369"/>
        <w:spacing w:before="37" w:line="266" w:lineRule="auto"/>
        <w:rPr/>
      </w:pPr>
      <w:r>
        <w:rPr>
          <w:spacing w:val="-4"/>
        </w:rPr>
        <w:t>备注</w:t>
      </w:r>
      <w:r>
        <w:rPr>
          <w:spacing w:val="-19"/>
        </w:rPr>
        <w:t xml:space="preserve"> </w:t>
      </w:r>
      <w:r>
        <w:rPr>
          <w:rFonts w:ascii="Calibri" w:hAnsi="Calibri" w:eastAsia="Calibri" w:cs="Calibri"/>
          <w:spacing w:val="-4"/>
        </w:rPr>
        <w:t>1.</w:t>
      </w:r>
      <w:r>
        <w:rPr>
          <w:spacing w:val="-4"/>
        </w:rPr>
        <w:t>供应商须在投标响应文件《商务响应</w:t>
      </w:r>
      <w:r>
        <w:rPr>
          <w:rFonts w:ascii="Calibri" w:hAnsi="Calibri" w:eastAsia="Calibri" w:cs="Calibri"/>
          <w:spacing w:val="-4"/>
        </w:rPr>
        <w:t>/</w:t>
      </w:r>
      <w:r>
        <w:rPr>
          <w:spacing w:val="-4"/>
        </w:rPr>
        <w:t>偏离表》、《技术响应</w:t>
      </w:r>
      <w:r>
        <w:rPr>
          <w:rFonts w:ascii="Calibri" w:hAnsi="Calibri" w:eastAsia="Calibri" w:cs="Calibri"/>
          <w:spacing w:val="-4"/>
        </w:rPr>
        <w:t>/</w:t>
      </w:r>
      <w:r>
        <w:rPr>
          <w:spacing w:val="-4"/>
        </w:rPr>
        <w:t>偏离表》中应对以上条款进</w:t>
      </w:r>
      <w:r>
        <w:rPr/>
        <w:t xml:space="preserve"> </w:t>
      </w:r>
      <w:r>
        <w:rPr/>
        <w:t>行响应描述或偏离说明。未对实质性条款进行响应或不满足的的，其投标按照无效</w:t>
      </w:r>
      <w:r>
        <w:rPr>
          <w:spacing w:val="-1"/>
        </w:rPr>
        <w:t>投标处理。</w:t>
      </w:r>
    </w:p>
    <w:p>
      <w:pPr>
        <w:pStyle w:val="BodyText"/>
        <w:ind w:firstLine="372"/>
        <w:spacing w:before="18" w:line="266" w:lineRule="auto"/>
        <w:rPr/>
      </w:pPr>
      <w:r>
        <w:rPr>
          <w:rFonts w:ascii="Calibri" w:hAnsi="Calibri" w:eastAsia="Calibri" w:cs="Calibri"/>
          <w:spacing w:val="-3"/>
        </w:rPr>
        <w:t>2.</w:t>
      </w:r>
      <w:r>
        <w:rPr>
          <w:spacing w:val="-3"/>
        </w:rPr>
        <w:t>采购文件中标注“★”的商务、技术及服务要求为实质性条款，应满足或优</w:t>
      </w:r>
      <w:r>
        <w:rPr>
          <w:spacing w:val="-4"/>
        </w:rPr>
        <w:t>于，如有不满足的</w:t>
      </w:r>
      <w:r>
        <w:rPr/>
        <w:t xml:space="preserve"> </w:t>
      </w:r>
      <w:r>
        <w:rPr/>
        <w:t>其投标按照无效投标处理。标注有“▲”号的条款，为第四章“评分表”中的评分内</w:t>
      </w:r>
      <w:r>
        <w:rPr>
          <w:spacing w:val="-1"/>
        </w:rPr>
        <w:t>容。</w:t>
      </w:r>
    </w:p>
    <w:p>
      <w:pPr>
        <w:pStyle w:val="BodyText"/>
        <w:ind w:left="621" w:right="84" w:hanging="2"/>
        <w:spacing w:before="18" w:line="276" w:lineRule="auto"/>
        <w:jc w:val="both"/>
        <w:rPr/>
      </w:pPr>
      <w:r>
        <w:rPr/>
        <w:t>注： 对于不允许偏离的实质性要求和条件，采购人或者采购代理机构应当在采购文件中规</w:t>
      </w:r>
      <w:r>
        <w:rPr>
          <w:spacing w:val="7"/>
        </w:rPr>
        <w:t xml:space="preserve"> </w:t>
      </w:r>
      <w:r>
        <w:rPr>
          <w:spacing w:val="-2"/>
        </w:rPr>
        <w:t>定，并以醒目的方式标明，以上条款可以设置</w:t>
      </w:r>
      <w:r>
        <w:rPr>
          <w:spacing w:val="-3"/>
        </w:rPr>
        <w:t>不允许偏离的实质性条件，实质性要求及重要</w:t>
      </w:r>
      <w:r>
        <w:rPr/>
        <w:t xml:space="preserve"> </w:t>
      </w:r>
      <w:r>
        <w:rPr/>
        <w:t>指标用★标注，★标注项不得负偏离，如果出现负偏离，则响</w:t>
      </w:r>
      <w:r>
        <w:rPr>
          <w:spacing w:val="-1"/>
        </w:rPr>
        <w:t>应文件无效</w:t>
      </w:r>
    </w:p>
    <w:sectPr>
      <w:footerReference w:type="default" r:id="rId3"/>
      <w:pgSz w:w="11907" w:h="16839"/>
      <w:pgMar w:top="1431" w:right="1709" w:bottom="1199" w:left="1189" w:header="0" w:footer="98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9"/>
      <w:spacing w:line="207" w:lineRule="auto"/>
      <w:rPr>
        <w:rFonts w:ascii="FangSong" w:hAnsi="FangSong" w:eastAsia="FangSong" w:cs="FangSong"/>
        <w:sz w:val="18"/>
        <w:szCs w:val="18"/>
      </w:rPr>
    </w:pPr>
    <w:r>
      <w:rPr>
        <w:rFonts w:ascii="FangSong" w:hAnsi="FangSong" w:eastAsia="FangSong" w:cs="FangSong"/>
        <w:sz w:val="18"/>
        <w:szCs w:val="18"/>
        <w:spacing w:val="-3"/>
      </w:rPr>
      <w:t>1</w:t>
    </w:r>
    <w:r>
      <w:rPr>
        <w:rFonts w:ascii="FangSong" w:hAnsi="FangSong" w:eastAsia="FangSong" w:cs="FangSong"/>
        <w:sz w:val="18"/>
        <w:szCs w:val="18"/>
        <w:spacing w:val="1"/>
      </w:rPr>
      <w:t xml:space="preserve">                        </w:t>
    </w:r>
    <w:r>
      <w:rPr>
        <w:rFonts w:ascii="FangSong" w:hAnsi="FangSong" w:eastAsia="FangSong" w:cs="FangSong"/>
        <w:sz w:val="18"/>
        <w:szCs w:val="18"/>
      </w:rPr>
      <w:t xml:space="preserve">    </w:t>
    </w:r>
    <w:r>
      <w:rPr>
        <w:rFonts w:ascii="FangSong" w:hAnsi="FangSong" w:eastAsia="FangSong" w:cs="FangSong"/>
        <w:sz w:val="18"/>
        <w:szCs w:val="18"/>
        <w:spacing w:val="-3"/>
      </w:rPr>
      <w:t>湖北群卫招投标代理有限公司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77"/>
      <w:spacing w:line="207" w:lineRule="auto"/>
      <w:rPr>
        <w:rFonts w:ascii="FangSong" w:hAnsi="FangSong" w:eastAsia="FangSong" w:cs="FangSong"/>
        <w:sz w:val="18"/>
        <w:szCs w:val="18"/>
      </w:rPr>
    </w:pPr>
    <w:r>
      <w:rPr>
        <w:rFonts w:ascii="FangSong" w:hAnsi="FangSong" w:eastAsia="FangSong" w:cs="FangSong"/>
        <w:sz w:val="18"/>
        <w:szCs w:val="18"/>
        <w:spacing w:val="-2"/>
      </w:rPr>
      <w:t>2</w:t>
    </w:r>
    <w:r>
      <w:rPr>
        <w:rFonts w:ascii="FangSong" w:hAnsi="FangSong" w:eastAsia="FangSong" w:cs="FangSong"/>
        <w:sz w:val="18"/>
        <w:szCs w:val="18"/>
        <w:spacing w:val="1"/>
      </w:rPr>
      <w:t xml:space="preserve">                     </w:t>
    </w:r>
    <w:r>
      <w:rPr>
        <w:rFonts w:ascii="FangSong" w:hAnsi="FangSong" w:eastAsia="FangSong" w:cs="FangSong"/>
        <w:sz w:val="18"/>
        <w:szCs w:val="18"/>
      </w:rPr>
      <w:t xml:space="preserve">       </w:t>
    </w:r>
    <w:r>
      <w:rPr>
        <w:rFonts w:ascii="FangSong" w:hAnsi="FangSong" w:eastAsia="FangSong" w:cs="FangSong"/>
        <w:sz w:val="18"/>
        <w:szCs w:val="18"/>
        <w:spacing w:val="-2"/>
      </w:rPr>
      <w:t>湖北群卫招投标代理有限公司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77"/>
      <w:spacing w:line="207" w:lineRule="auto"/>
      <w:rPr>
        <w:rFonts w:ascii="FangSong" w:hAnsi="FangSong" w:eastAsia="FangSong" w:cs="FangSong"/>
        <w:sz w:val="18"/>
        <w:szCs w:val="18"/>
      </w:rPr>
    </w:pPr>
    <w:r>
      <w:rPr>
        <w:rFonts w:ascii="FangSong" w:hAnsi="FangSong" w:eastAsia="FangSong" w:cs="FangSong"/>
        <w:sz w:val="18"/>
        <w:szCs w:val="18"/>
        <w:spacing w:val="-2"/>
      </w:rPr>
      <w:t>3</w:t>
    </w:r>
    <w:r>
      <w:rPr>
        <w:rFonts w:ascii="FangSong" w:hAnsi="FangSong" w:eastAsia="FangSong" w:cs="FangSong"/>
        <w:sz w:val="18"/>
        <w:szCs w:val="18"/>
        <w:spacing w:val="1"/>
      </w:rPr>
      <w:t xml:space="preserve">                    </w:t>
    </w:r>
    <w:r>
      <w:rPr>
        <w:rFonts w:ascii="FangSong" w:hAnsi="FangSong" w:eastAsia="FangSong" w:cs="FangSong"/>
        <w:sz w:val="18"/>
        <w:szCs w:val="18"/>
      </w:rPr>
      <w:t xml:space="preserve">        </w:t>
    </w:r>
    <w:r>
      <w:rPr>
        <w:rFonts w:ascii="FangSong" w:hAnsi="FangSong" w:eastAsia="FangSong" w:cs="FangSong"/>
        <w:sz w:val="18"/>
        <w:szCs w:val="18"/>
        <w:spacing w:val="-2"/>
      </w:rPr>
      <w:t>湖北群卫招投标代理有限公司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尔望</dc:creator>
  <dcterms:created xsi:type="dcterms:W3CDTF">2025-10-13T09:04:48Z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2025-10-14T08:53:02</vt:filetime>
  </property>
</Properties>
</file>